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60" w:rsidRPr="00347F60" w:rsidRDefault="00347F60" w:rsidP="00347F60">
      <w:pPr>
        <w:spacing w:before="100" w:beforeAutospacing="1" w:after="7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777777"/>
          <w:kern w:val="36"/>
          <w:sz w:val="24"/>
          <w:szCs w:val="24"/>
          <w:lang w:eastAsia="ru-RU"/>
        </w:rPr>
      </w:pPr>
      <w:r w:rsidRPr="00347F60">
        <w:rPr>
          <w:rFonts w:ascii="Verdana" w:eastAsia="Times New Roman" w:hAnsi="Verdana" w:cs="Times New Roman"/>
          <w:b/>
          <w:bCs/>
          <w:color w:val="777777"/>
          <w:kern w:val="36"/>
          <w:sz w:val="24"/>
          <w:szCs w:val="24"/>
          <w:lang w:eastAsia="ru-RU"/>
        </w:rPr>
        <w:t>Постановление Комиссии по делам несовершеннолетних и защите их прав при Правительстве Красноярского края № 3 от 30.06.2014 "О мерах по профилактике общественно опасных деяний несовершеннолетних, не достигших возраста привлечения к уголовной ответственности, и активизации межведомственной деятельности в области применения к ним мер воспитательного воздействия"</w:t>
      </w:r>
    </w:p>
    <w:p w:rsidR="00347F60" w:rsidRPr="00347F60" w:rsidRDefault="00347F60" w:rsidP="00347F60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47F60">
        <w:rPr>
          <w:rFonts w:ascii="Verdana" w:eastAsia="Times New Roman" w:hAnsi="Verdana" w:cs="Times New Roman"/>
          <w:b/>
          <w:bCs/>
          <w:color w:val="CC0000"/>
          <w:sz w:val="17"/>
          <w:lang w:eastAsia="ru-RU"/>
        </w:rPr>
        <w:t>04.07.2014</w:t>
      </w:r>
    </w:p>
    <w:p w:rsidR="00347F60" w:rsidRPr="00347F60" w:rsidRDefault="00347F60" w:rsidP="00347F60">
      <w:pPr>
        <w:spacing w:after="15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47F60">
        <w:rPr>
          <w:rFonts w:ascii="Verdana" w:eastAsia="Times New Roman" w:hAnsi="Verdana" w:cs="Times New Roman"/>
          <w:b/>
          <w:bCs/>
          <w:sz w:val="17"/>
          <w:lang w:eastAsia="ru-RU"/>
        </w:rPr>
        <w:t xml:space="preserve">КОМИССИЯ ПО ДЕЛАМ НЕСОВЕРШЕННОЛЕТНИХ </w:t>
      </w:r>
      <w:r w:rsidRPr="00347F60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br/>
      </w:r>
      <w:r w:rsidRPr="00347F60">
        <w:rPr>
          <w:rFonts w:ascii="Verdana" w:eastAsia="Times New Roman" w:hAnsi="Verdana" w:cs="Times New Roman"/>
          <w:b/>
          <w:bCs/>
          <w:sz w:val="17"/>
          <w:lang w:eastAsia="ru-RU"/>
        </w:rPr>
        <w:t>И ЗАЩИТЕ ИХ ПРАВ ПРИ ПРАВИТЕЛЬСТВЕ КРАСНОЯРСКОГО КРАЯ</w:t>
      </w:r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br/>
      </w:r>
      <w:r w:rsidRPr="00347F60">
        <w:rPr>
          <w:rFonts w:ascii="Verdana" w:eastAsia="Times New Roman" w:hAnsi="Verdana" w:cs="Times New Roman"/>
          <w:b/>
          <w:bCs/>
          <w:sz w:val="17"/>
          <w:lang w:eastAsia="ru-RU"/>
        </w:rPr>
        <w:t>Постановление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85"/>
        <w:gridCol w:w="3285"/>
        <w:gridCol w:w="2785"/>
      </w:tblGrid>
      <w:tr w:rsidR="00347F60" w:rsidRPr="00347F60">
        <w:trPr>
          <w:tblCellSpacing w:w="0" w:type="dxa"/>
        </w:trPr>
        <w:tc>
          <w:tcPr>
            <w:tcW w:w="3285" w:type="dxa"/>
            <w:hideMark/>
          </w:tcPr>
          <w:p w:rsidR="00347F60" w:rsidRPr="00347F60" w:rsidRDefault="00347F60" w:rsidP="00347F60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47F6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30.06.2014</w:t>
            </w:r>
          </w:p>
        </w:tc>
        <w:tc>
          <w:tcPr>
            <w:tcW w:w="3285" w:type="dxa"/>
            <w:hideMark/>
          </w:tcPr>
          <w:p w:rsidR="00347F60" w:rsidRPr="00347F60" w:rsidRDefault="00347F60" w:rsidP="00347F6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47F60" w:rsidRPr="00347F60" w:rsidRDefault="00347F60" w:rsidP="00347F60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47F6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№ 3</w:t>
            </w:r>
          </w:p>
        </w:tc>
      </w:tr>
    </w:tbl>
    <w:p w:rsidR="00347F60" w:rsidRPr="00347F60" w:rsidRDefault="00347F60" w:rsidP="00347F60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347F60" w:rsidRPr="00347F60" w:rsidRDefault="00347F60" w:rsidP="00347F60">
      <w:pPr>
        <w:spacing w:after="15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47F60">
        <w:rPr>
          <w:rFonts w:ascii="Verdana" w:eastAsia="Times New Roman" w:hAnsi="Verdana" w:cs="Times New Roman"/>
          <w:b/>
          <w:bCs/>
          <w:sz w:val="17"/>
          <w:lang w:eastAsia="ru-RU"/>
        </w:rPr>
        <w:t xml:space="preserve">О мерах по профилактике общественно опасных деяний несовершеннолетних, не достигших возраста привлечения к уголовной ответственности, и активизации межведомственной деятельности в области применения к ним мер воспитательного воздействия </w:t>
      </w:r>
    </w:p>
    <w:p w:rsidR="00347F60" w:rsidRPr="00347F60" w:rsidRDefault="00347F60" w:rsidP="00347F60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proofErr w:type="gramStart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Комиссия по делам несовершеннолетних и защите их прав при Правительстве Красноярского края (далее – краевая комиссия), рассмотрев информацию органов и учреждений системы профилактики безнадзорности и правонарушений несовершеннолетних о состоянии и мерах по предупреждению общественно опасных деяний несовершеннолетних, не достигших возраста привлечения к уголовной ответственности, в том числе с использованием воспитательных форм индивидуального профилактического воздействия на них, </w:t>
      </w:r>
      <w:proofErr w:type="gramEnd"/>
    </w:p>
    <w:p w:rsidR="00347F60" w:rsidRPr="00347F60" w:rsidRDefault="00347F60" w:rsidP="00347F60">
      <w:pPr>
        <w:spacing w:after="15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47F60">
        <w:rPr>
          <w:rFonts w:ascii="Verdana" w:eastAsia="Times New Roman" w:hAnsi="Verdana" w:cs="Times New Roman"/>
          <w:b/>
          <w:bCs/>
          <w:sz w:val="17"/>
          <w:lang w:eastAsia="ru-RU"/>
        </w:rPr>
        <w:t xml:space="preserve">У С Т А Н О В И Л А: </w:t>
      </w:r>
    </w:p>
    <w:p w:rsidR="00347F60" w:rsidRPr="00347F60" w:rsidRDefault="00347F60" w:rsidP="00347F60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>На фоне роста подростковой преступности в крае актуальной в текущем году становится проблема правонарушений несовершеннолетних в раннем возрасте.</w:t>
      </w:r>
    </w:p>
    <w:p w:rsidR="00347F60" w:rsidRPr="00347F60" w:rsidRDefault="00347F60" w:rsidP="00347F60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 xml:space="preserve">Так, в 2013 году участниками общественно опасных деяний стали 1306 (+3,5%) подростков, из которых 973 (+0,6%) - в возрасте до 14 лет. В 2014 году правоохранительными органами проведены проверки в отношении 302 несовершеннолетних, совершивших общественно опасные деяния. </w:t>
      </w:r>
    </w:p>
    <w:p w:rsidR="00347F60" w:rsidRPr="00347F60" w:rsidRDefault="00347F60" w:rsidP="00347F60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Значительное увеличение числа таких подростков отмечается в </w:t>
      </w:r>
      <w:proofErr w:type="spellStart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>Балахтинском</w:t>
      </w:r>
      <w:proofErr w:type="spellEnd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 xml:space="preserve">, Краснотуранском, </w:t>
      </w:r>
      <w:proofErr w:type="spellStart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>Ужурском</w:t>
      </w:r>
      <w:proofErr w:type="spellEnd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 xml:space="preserve">, Шушенском, Березовском, </w:t>
      </w:r>
      <w:proofErr w:type="spellStart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>Абанском</w:t>
      </w:r>
      <w:proofErr w:type="spellEnd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 xml:space="preserve">, </w:t>
      </w:r>
      <w:proofErr w:type="spellStart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>Богучанском</w:t>
      </w:r>
      <w:proofErr w:type="spellEnd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 xml:space="preserve">, Туруханском и </w:t>
      </w:r>
      <w:proofErr w:type="spellStart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>Ужурском</w:t>
      </w:r>
      <w:proofErr w:type="spellEnd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районах, ЗАТО </w:t>
      </w:r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br/>
      </w:r>
      <w:proofErr w:type="gramStart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>г</w:t>
      </w:r>
      <w:proofErr w:type="gramEnd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>. Железногорск.</w:t>
      </w:r>
    </w:p>
    <w:p w:rsidR="00347F60" w:rsidRPr="00347F60" w:rsidRDefault="00347F60" w:rsidP="00347F60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>Наибольшее количество общественно опасных деяний совершено против жизни и здоровья, их которых 95% составляют побои, значительной остается доля общественно опасных деяний имущественного характера (46%).</w:t>
      </w:r>
    </w:p>
    <w:p w:rsidR="00347F60" w:rsidRPr="00347F60" w:rsidRDefault="00347F60" w:rsidP="00347F60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Высокий удельный вес (45%) отмечается по количеству общественно опасных деяний, совершенных несовершеннолетними в образовательных организациях и на их территории. Особенно неблагоприятная обстановка складывается в образовательных организациях ЗАТО </w:t>
      </w:r>
      <w:proofErr w:type="gramStart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>г</w:t>
      </w:r>
      <w:proofErr w:type="gramEnd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 xml:space="preserve">. Железногорск </w:t>
      </w:r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br/>
        <w:t xml:space="preserve">и </w:t>
      </w:r>
      <w:proofErr w:type="spellStart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>Емельяновского</w:t>
      </w:r>
      <w:proofErr w:type="spellEnd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района.</w:t>
      </w:r>
    </w:p>
    <w:p w:rsidR="00347F60" w:rsidRPr="00347F60" w:rsidRDefault="00347F60" w:rsidP="00347F60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На 14,3% возросло количество лиц, совершивших общественно опасные деяния повторно (Советский, Кировский районы </w:t>
      </w:r>
      <w:proofErr w:type="gramStart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>г</w:t>
      </w:r>
      <w:proofErr w:type="gramEnd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 xml:space="preserve">. Красноярска, </w:t>
      </w:r>
      <w:proofErr w:type="spellStart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>Шушенский</w:t>
      </w:r>
      <w:proofErr w:type="spellEnd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район, г. </w:t>
      </w:r>
      <w:proofErr w:type="spellStart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>Лесосибирск</w:t>
      </w:r>
      <w:proofErr w:type="spellEnd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>).</w:t>
      </w:r>
    </w:p>
    <w:p w:rsidR="00347F60" w:rsidRPr="00347F60" w:rsidRDefault="00347F60" w:rsidP="00347F60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>В числе причин и условий, способствующих противоправному деянию подростков в раннем возрасте, преобладают:</w:t>
      </w:r>
    </w:p>
    <w:p w:rsidR="00347F60" w:rsidRPr="00347F60" w:rsidRDefault="00347F60" w:rsidP="00347F60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недостаточный контроль соблюдения </w:t>
      </w:r>
      <w:proofErr w:type="gramStart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>обучающимися</w:t>
      </w:r>
      <w:proofErr w:type="gramEnd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правил и норм поведения в образовательных организациях;</w:t>
      </w:r>
    </w:p>
    <w:p w:rsidR="00347F60" w:rsidRPr="00347F60" w:rsidRDefault="00347F60" w:rsidP="00347F60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>отсутствие надлежащего воспитания со стороны родителей или иных законных представителей;</w:t>
      </w:r>
    </w:p>
    <w:p w:rsidR="00347F60" w:rsidRPr="00347F60" w:rsidRDefault="00347F60" w:rsidP="00347F60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>неблагоприятное окружение сверстников, негативное влияние взрослых лиц, в том числе родителей;</w:t>
      </w:r>
    </w:p>
    <w:p w:rsidR="00347F60" w:rsidRPr="00347F60" w:rsidRDefault="00347F60" w:rsidP="00347F60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>низкая мотивация подростков к занятиям общественно полезной деятельностью, склонность к бродяжничеству, самовольным уходам;</w:t>
      </w:r>
    </w:p>
    <w:p w:rsidR="00347F60" w:rsidRPr="00347F60" w:rsidRDefault="00347F60" w:rsidP="00347F60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>асоциальные личностные качества несовершеннолетних, выражающиеся в агрессии, расстройствах психики и умственной отсталости, вредных привычках и т.п.;</w:t>
      </w:r>
    </w:p>
    <w:p w:rsidR="00347F60" w:rsidRPr="00347F60" w:rsidRDefault="00347F60" w:rsidP="00347F60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>низкий уровень правового воспитания подростков, правовой нигилизм.</w:t>
      </w:r>
    </w:p>
    <w:p w:rsidR="00347F60" w:rsidRPr="00347F60" w:rsidRDefault="00347F60" w:rsidP="00347F60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lastRenderedPageBreak/>
        <w:t xml:space="preserve">Несовершеннолетние, совершившие общественно опасные деяния, но не подлежащие уголовной ответственности в связи с </w:t>
      </w:r>
      <w:proofErr w:type="spellStart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>недостижением</w:t>
      </w:r>
      <w:proofErr w:type="spellEnd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возраста наступления уголовной ответственности, нуждаются в особом индивидуальном подходе с применением воспитательных мер воздействия, направленных на устранение причин и условий, способствующих их противоправным деяниям, и основанных на комплексном межведомственном сопровождении в целях предупреждения рецидивного поведения подростков. </w:t>
      </w:r>
    </w:p>
    <w:p w:rsidR="00347F60" w:rsidRPr="00347F60" w:rsidRDefault="00347F60" w:rsidP="00347F60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proofErr w:type="gramStart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В текущем году комиссиями в муниципальных образованиях края меры воздействия, предусмотренные статьей 12 Закона края от 31.10.2002 № 4-608 «О системе профилактики безнадзорности и правонарушений несовершеннолетних», приняты в 75% случаев рассмотрения материалов в отношении несовершеннолетних, совершивших общественно опасные деяния, и только 212 подростков поставлены на профилактический учет как находящиеся в социально опасном положении. </w:t>
      </w:r>
      <w:proofErr w:type="gramEnd"/>
    </w:p>
    <w:p w:rsidR="00347F60" w:rsidRPr="00347F60" w:rsidRDefault="00347F60" w:rsidP="00347F60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В числе мер профилактики общественно опасных деяний несовершеннолетних, коррекции их противоправного поведения и усиления воспитательной функции используются возможности Центра временного содержания для несовершеннолетних правонарушителей, куда в 2014 году помещено 44 подростка, из которых 37 – за совершение общественно опасных деяний и трое – направляемых в СУВЗТ. В то же время в суды направлено 64 ходатайства о помещении несовершеннолетних в ЦВСНП, однако в 23 случаях в удовлетворении ходатайств было отказано по причине недостаточности проведенных ранее субъектами системы профилактики мероприятий индивидуального профилактического воздействия. </w:t>
      </w:r>
    </w:p>
    <w:p w:rsidR="00347F60" w:rsidRPr="00347F60" w:rsidRDefault="00347F60" w:rsidP="00347F60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>В крае формируется процесс развития восстановительных практик в форме школьных служб примирения. На базе 458 образовательных организаций и учреждений социального обслуживания населения созданы службы примирения, в 2014 году планируется создание еще 319 таких служб.</w:t>
      </w:r>
    </w:p>
    <w:p w:rsidR="00347F60" w:rsidRPr="00347F60" w:rsidRDefault="00347F60" w:rsidP="00347F60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>Однако должное взаимодействие образовательных организаций с другими субъектами системы профилактики, в том числе с комиссиями по делам несовершеннолетних и защите их прав, в этом направлении не установлено. Как следствие, комиссии в муниципальных образованиях при рассмотрении материалов по фактам совершения подростками общественно опасных деяний и иных противоправных действий формально подходят к принятию решений о применении восстановительных технологий (медиации) как необходимого условия предупреждения повторных правонарушений, устранению или нейтрализации причин конфликтной ситуации, формирования законопослушного поведения и защиты прав детей.</w:t>
      </w:r>
    </w:p>
    <w:p w:rsidR="00347F60" w:rsidRPr="00347F60" w:rsidRDefault="00347F60" w:rsidP="00347F60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proofErr w:type="gramStart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>Требует также изменения подходов в деятельности комиссий организация индивидуальной профилактической работы с несовершеннолетними, совершившими общественно опасные деяния и оказавшиеся по этой причине в социально опасном положении, основной акцент которой должен быть сосредоточен на координацию усилий взаимодействующих органов и учреждений по устранению причин и условий правонарушающего поведения подростков, систему воспитательных мер в их отношении, преемственность коррекционных и реабилитационных мероприятий, своевременное оказание</w:t>
      </w:r>
      <w:proofErr w:type="gramEnd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правовой помощи и иных мер социально-педагогической помощи.</w:t>
      </w:r>
    </w:p>
    <w:p w:rsidR="00347F60" w:rsidRPr="00347F60" w:rsidRDefault="00347F60" w:rsidP="00347F60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>Нуждается в активизации деятельность по ранней профилактике правонарушений среди лиц, не достигших возраста привлечения к уголовной ответственности, прежде всего за счет системы правового образования несовершеннолетних, их позитивной социализации и занятости.</w:t>
      </w:r>
    </w:p>
    <w:p w:rsidR="00347F60" w:rsidRPr="00347F60" w:rsidRDefault="00347F60" w:rsidP="00347F60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 xml:space="preserve">Слабым звеном в организации предупредительной работы среди несовершеннолетних с противоправным поведением в раннем возрасте является неполнота информационных и аналитических материалов, представляемых в комиссию, что, в свою очередь препятствует объективному установлению причин и условий, способствующих совершению несовершеннолетними общественно опасных деяний, оценке причиненного вреда и наступивших последствий. </w:t>
      </w:r>
    </w:p>
    <w:p w:rsidR="00347F60" w:rsidRPr="00347F60" w:rsidRDefault="00347F60" w:rsidP="00347F60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>В работе большинства комиссий не отлажен механизм своевременного информирования о совершенных общественно опасных деяниях подростков, в результате меры воспитательного воздействия оказываются неэффективными, а в ряде случаев влечет криминальную активность (повторность) подростков.</w:t>
      </w:r>
    </w:p>
    <w:p w:rsidR="00347F60" w:rsidRPr="00347F60" w:rsidRDefault="00347F60" w:rsidP="00347F60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>Отдельными комиссиями не обеспечивается должный уровень взаимодействия с ЦВСНП по вопросам дальнейшей реализации комплекса социально-педагогической реабилитации (индивидуальной профилактической работы). Программы и планы ИПР с несовершеннолетними, совершившими общественно опасные деяния и находящиеся в социально опасном положении, практически не содержат мероприятий по применению восстановительных технологий, резерв школьных служб примирения используется слабо.</w:t>
      </w:r>
    </w:p>
    <w:p w:rsidR="00347F60" w:rsidRPr="00347F60" w:rsidRDefault="00347F60" w:rsidP="00347F60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>На основании изложенного и руководствуясь статьей 11 Федерального закона от 24.06.1999 № 120-ФЗ «Об основах системы профилактики безнадзорности и правонарушений несовершеннолетних», краевая комиссия</w:t>
      </w:r>
    </w:p>
    <w:p w:rsidR="00347F60" w:rsidRPr="00347F60" w:rsidRDefault="00347F60" w:rsidP="00347F60">
      <w:pPr>
        <w:spacing w:after="15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47F60">
        <w:rPr>
          <w:rFonts w:ascii="Verdana" w:eastAsia="Times New Roman" w:hAnsi="Verdana" w:cs="Times New Roman"/>
          <w:b/>
          <w:bCs/>
          <w:sz w:val="17"/>
          <w:lang w:eastAsia="ru-RU"/>
        </w:rPr>
        <w:t xml:space="preserve">ПОСТАНОВЛЯЕТ: </w:t>
      </w:r>
    </w:p>
    <w:p w:rsidR="00347F60" w:rsidRPr="00347F60" w:rsidRDefault="00347F60" w:rsidP="00347F60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 xml:space="preserve">1. Принять к сведению информацию о состоянии работы по профилактике общественно опасных деяний несовершеннолетних и проблемах раннего их предупреждения (приложение № 1). </w:t>
      </w:r>
    </w:p>
    <w:p w:rsidR="00347F60" w:rsidRPr="00347F60" w:rsidRDefault="00347F60" w:rsidP="00347F60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lastRenderedPageBreak/>
        <w:t>2. Министерству образования и науки края (Н.В. Анохина):</w:t>
      </w:r>
    </w:p>
    <w:p w:rsidR="00347F60" w:rsidRPr="00347F60" w:rsidRDefault="00347F60" w:rsidP="00347F60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 xml:space="preserve">2.1. Совместно с Красноярским институтом повышения квалификации и профессиональной переподготовки работников </w:t>
      </w:r>
      <w:proofErr w:type="spellStart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>образованияразработать</w:t>
      </w:r>
      <w:proofErr w:type="spellEnd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предложения по ресурсному (информационному и методическому) обеспечению межведомственной деятельности в сфере профилактики общественно опасных деяний среди несовершеннолетних через реализацию медиативного подхода к процессу воспитания несовершеннолетних. Предложения направить в краевую комиссию к 01.10.2014 для утверждения.</w:t>
      </w:r>
    </w:p>
    <w:p w:rsidR="00347F60" w:rsidRPr="00347F60" w:rsidRDefault="00347F60" w:rsidP="00347F60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>2.2. В августе-сентябре 2014 года провести необходимую работу по обеспечению должного контроля в образовательных организациях края над соблюдением правил и норм поведения обучающихся в целях исключения предпосылок к совершению противоправных и общественно опасных деяний несовершеннолетних.</w:t>
      </w:r>
    </w:p>
    <w:p w:rsidR="00347F60" w:rsidRPr="00347F60" w:rsidRDefault="00347F60" w:rsidP="00347F60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 xml:space="preserve">3. Министерству спорта, туризма и молодежной политики Красноярского края (С.И. Алексеев) рассмотреть возможность создания ювенальных служб на базе муниципальных молодежных центров с целью профилактики правонарушающего поведения подростков, оказания методической помощи школьным службам по применению примирительных восстановительных технологий (с учетом позитивной практики ювенальных служб на базе молодежных центров </w:t>
      </w:r>
      <w:proofErr w:type="gramStart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>г</w:t>
      </w:r>
      <w:proofErr w:type="gramEnd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>. Красноярска). Информацию направить в краевую комиссию до 01.12.2014.</w:t>
      </w:r>
    </w:p>
    <w:p w:rsidR="00347F60" w:rsidRPr="00347F60" w:rsidRDefault="00347F60" w:rsidP="00347F60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 xml:space="preserve">4. Министерству социальной политики края (Г.М. Ковалева), министерству образования и науки края (С.И. Маковская), министерству спорта, туризма и молодежной политики края (С.И. Алексеев) предусмотреть на перспективный период обучение специалистов восстановительным технологиям и методам ранней профилактики правонарушающего поведения подростков. </w:t>
      </w:r>
    </w:p>
    <w:p w:rsidR="00347F60" w:rsidRPr="00347F60" w:rsidRDefault="00347F60" w:rsidP="00347F60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 xml:space="preserve">5. </w:t>
      </w:r>
      <w:proofErr w:type="gramStart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Отделу организации деятельности подразделений по делам несовершеннолетних ГУ МВД России по Красноярскому краю (Н.Г. </w:t>
      </w:r>
      <w:proofErr w:type="spellStart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>Шапруто</w:t>
      </w:r>
      <w:proofErr w:type="spellEnd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>), Центру временного содержания для несовершеннолетних правонарушителей (Л.В. Матросова) провести мониторинг мер, направленных на предупреждение повторных общественно опасных деяний несовершеннолетних, устранение причин и условий, им способствующих, в том числе на межведомственной основе, а также реализацию органами и учреждениями системы профилактики предложений в их адрес</w:t>
      </w:r>
      <w:proofErr w:type="gramEnd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о совершенствовании этой работы. Информацию направить в краевую комиссию к 01.12.2014 для анализа и контроля.</w:t>
      </w:r>
    </w:p>
    <w:p w:rsidR="00347F60" w:rsidRPr="00347F60" w:rsidRDefault="00347F60" w:rsidP="00347F60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 xml:space="preserve">6. </w:t>
      </w:r>
      <w:proofErr w:type="gramStart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Комиссиям по делам несовершеннолетних и защите их прав в </w:t>
      </w:r>
      <w:proofErr w:type="spellStart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>Балахтинском</w:t>
      </w:r>
      <w:proofErr w:type="spellEnd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 xml:space="preserve">, Краснотуранском, </w:t>
      </w:r>
      <w:proofErr w:type="spellStart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>Ужурском</w:t>
      </w:r>
      <w:proofErr w:type="spellEnd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 xml:space="preserve">, Шушенском, Березовском, </w:t>
      </w:r>
      <w:proofErr w:type="spellStart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>Абанском</w:t>
      </w:r>
      <w:proofErr w:type="spellEnd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 xml:space="preserve">, </w:t>
      </w:r>
      <w:proofErr w:type="spellStart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>Богучанском</w:t>
      </w:r>
      <w:proofErr w:type="spellEnd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 xml:space="preserve">, Туруханском и </w:t>
      </w:r>
      <w:proofErr w:type="spellStart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>Ужурском</w:t>
      </w:r>
      <w:proofErr w:type="spellEnd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районах, ЗАТО г. Железногорск, г. </w:t>
      </w:r>
      <w:proofErr w:type="spellStart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>Лесосибирске</w:t>
      </w:r>
      <w:proofErr w:type="spellEnd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в связи со значительным количеством общественно опасных деяний, совершенных несовершеннолетними, во втором полугодии 2014 года выработать и реализовать системные меры по предупреждению повторных общественно опасных деяний несовершеннолетних, обеспечив координацию органов и учреждений в индивидуальной профилактической</w:t>
      </w:r>
      <w:proofErr w:type="gramEnd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работе с ними. О результатах реализации принятых комиссиями решений проинформировать краевую комиссию к 10.12.2014.</w:t>
      </w:r>
    </w:p>
    <w:p w:rsidR="00347F60" w:rsidRPr="00347F60" w:rsidRDefault="00347F60" w:rsidP="00347F60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>7. Председателям комиссий по делам несовершеннолетних и защите их прав в муниципальных образованиях края:</w:t>
      </w:r>
    </w:p>
    <w:p w:rsidR="00347F60" w:rsidRPr="00347F60" w:rsidRDefault="00347F60" w:rsidP="00347F60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 xml:space="preserve">7.1. На заседаниях комиссии во втором полугодии 2014 года рассмотреть вопросы эффективности организации деятельности по ранней профилактике правонарушений несовершеннолетних, в том числе использования возможностей службы медиации и медиативного подхода в работе с детьми и семьями, находящимися в социально опасном положении, для профилактики наркомании, алкоголизма, </w:t>
      </w:r>
      <w:proofErr w:type="spellStart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>табакокурения</w:t>
      </w:r>
      <w:proofErr w:type="spellEnd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 xml:space="preserve">, иных правонарушений несовершеннолетних; внедрения системы мер воспитательного воздействия, предусмотренных законодательством, к несовершеннолетним, совершившим противоправные действия, с целью профилактики повторных правонарушений подростков. </w:t>
      </w:r>
    </w:p>
    <w:p w:rsidR="00347F60" w:rsidRPr="00347F60" w:rsidRDefault="00347F60" w:rsidP="00347F60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 xml:space="preserve">7.2. </w:t>
      </w:r>
      <w:proofErr w:type="gramStart"/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>При рассмотрении материалов обращать внимание на причины и условия, способствующие совершению подростками общественно опасных и иных противоправных деяний, на основе анализа которых своевременно обеспечивать координацию работы субъектов системы профилактики на подведомственной территории, направленную на их устранение и усиление воспитательного эффекта.</w:t>
      </w:r>
      <w:proofErr w:type="gramEnd"/>
    </w:p>
    <w:p w:rsidR="00347F60" w:rsidRPr="00347F60" w:rsidRDefault="00347F60" w:rsidP="00347F60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>7.3. По итогам ежеквартальных сверок рассматривать на заседаниях комиссии эффективность проводимой органами и учреждениями системы профилактики индивидуальной профилактической работы с несовершеннолетними, состоящими на учете за совершение общественно опасных деяний, с принятием конкретных мер реагирования на негативные тенденции.</w:t>
      </w:r>
    </w:p>
    <w:p w:rsidR="00347F60" w:rsidRPr="00347F60" w:rsidRDefault="00347F60" w:rsidP="00347F60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>7.4. Ввести в практику проведение тематических круглых столов, семинаров, конференций и других коллегиальных форм с участием общественности по вопросам внедрения современных восстановительных подходов и технологий в профилактике детского и семейного неблагополучия.</w:t>
      </w:r>
    </w:p>
    <w:p w:rsidR="00347F60" w:rsidRPr="00347F60" w:rsidRDefault="00347F60" w:rsidP="00347F60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>7.5.Обеспечить постоянную занятость несовершеннолетних, совершивших общественно опасные деяния, путем вовлечения их в позитивные, содержательные виды деятельности, в том числе с максимальным использованием возможностей учреждений культуры, молодежных центров и иных организаций, осуществляющих мероприятия с детьми.</w:t>
      </w:r>
    </w:p>
    <w:p w:rsidR="00347F60" w:rsidRPr="00347F60" w:rsidRDefault="00347F60" w:rsidP="00347F60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lastRenderedPageBreak/>
        <w:t>8. Информацию об исполнении в порядке контроля направить в краевую комиссию в сроки, указанные в пунктах постановлении.</w:t>
      </w:r>
    </w:p>
    <w:p w:rsidR="00347F60" w:rsidRPr="00347F60" w:rsidRDefault="00347F60" w:rsidP="00347F60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47F60">
        <w:rPr>
          <w:rFonts w:ascii="Verdana" w:eastAsia="Times New Roman" w:hAnsi="Verdana" w:cs="Times New Roman"/>
          <w:sz w:val="17"/>
          <w:szCs w:val="17"/>
          <w:lang w:eastAsia="ru-RU"/>
        </w:rPr>
        <w:t>9. Постановление вступает в силу со дня подписания.</w:t>
      </w:r>
    </w:p>
    <w:p w:rsidR="00347F60" w:rsidRPr="00347F60" w:rsidRDefault="00347F60" w:rsidP="00347F60">
      <w:pPr>
        <w:spacing w:before="100" w:beforeAutospacing="1" w:after="75" w:line="240" w:lineRule="auto"/>
        <w:jc w:val="right"/>
        <w:outlineLvl w:val="5"/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</w:pPr>
      <w:r w:rsidRPr="00347F60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  <w:t>Председательствующий</w:t>
      </w:r>
      <w:r w:rsidRPr="00347F60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  <w:br/>
        <w:t xml:space="preserve">Г.А. Рыкова </w:t>
      </w:r>
    </w:p>
    <w:p w:rsidR="00E67BDC" w:rsidRDefault="00347F60"/>
    <w:sectPr w:rsidR="00E67BDC" w:rsidSect="009A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F60"/>
    <w:rsid w:val="000A2EEA"/>
    <w:rsid w:val="000C1D8A"/>
    <w:rsid w:val="000F2EAA"/>
    <w:rsid w:val="00226FAD"/>
    <w:rsid w:val="00314377"/>
    <w:rsid w:val="00347F60"/>
    <w:rsid w:val="003D1F3E"/>
    <w:rsid w:val="00516898"/>
    <w:rsid w:val="00596644"/>
    <w:rsid w:val="009A48F8"/>
    <w:rsid w:val="00CB4966"/>
    <w:rsid w:val="00F2258E"/>
    <w:rsid w:val="00FE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F8"/>
  </w:style>
  <w:style w:type="paragraph" w:styleId="1">
    <w:name w:val="heading 1"/>
    <w:basedOn w:val="a"/>
    <w:link w:val="10"/>
    <w:uiPriority w:val="9"/>
    <w:qFormat/>
    <w:rsid w:val="00347F60"/>
    <w:pPr>
      <w:spacing w:before="100" w:beforeAutospacing="1" w:after="75" w:line="240" w:lineRule="auto"/>
      <w:outlineLvl w:val="0"/>
    </w:pPr>
    <w:rPr>
      <w:rFonts w:ascii="Verdana" w:eastAsia="Times New Roman" w:hAnsi="Verdana" w:cs="Times New Roman"/>
      <w:b/>
      <w:bCs/>
      <w:color w:val="777777"/>
      <w:kern w:val="36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347F60"/>
    <w:pPr>
      <w:spacing w:before="100" w:beforeAutospacing="1" w:after="75" w:line="240" w:lineRule="auto"/>
      <w:outlineLvl w:val="5"/>
    </w:pPr>
    <w:rPr>
      <w:rFonts w:ascii="Verdana" w:eastAsia="Times New Roman" w:hAnsi="Verdana" w:cs="Times New Roman"/>
      <w:b/>
      <w:bCs/>
      <w:color w:val="777777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F60"/>
    <w:rPr>
      <w:rFonts w:ascii="Verdana" w:eastAsia="Times New Roman" w:hAnsi="Verdana" w:cs="Times New Roman"/>
      <w:b/>
      <w:bCs/>
      <w:color w:val="777777"/>
      <w:kern w:val="36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47F60"/>
    <w:rPr>
      <w:rFonts w:ascii="Verdana" w:eastAsia="Times New Roman" w:hAnsi="Verdana" w:cs="Times New Roman"/>
      <w:b/>
      <w:bCs/>
      <w:color w:val="777777"/>
      <w:sz w:val="17"/>
      <w:szCs w:val="17"/>
      <w:lang w:eastAsia="ru-RU"/>
    </w:rPr>
  </w:style>
  <w:style w:type="paragraph" w:styleId="a3">
    <w:name w:val="Normal (Web)"/>
    <w:basedOn w:val="a"/>
    <w:uiPriority w:val="99"/>
    <w:unhideWhenUsed/>
    <w:rsid w:val="00347F6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">
    <w:name w:val="date1"/>
    <w:basedOn w:val="a0"/>
    <w:rsid w:val="00347F60"/>
    <w:rPr>
      <w:b/>
      <w:bCs/>
      <w:color w:val="CC0000"/>
    </w:rPr>
  </w:style>
  <w:style w:type="character" w:styleId="a4">
    <w:name w:val="Strong"/>
    <w:basedOn w:val="a0"/>
    <w:uiPriority w:val="22"/>
    <w:qFormat/>
    <w:rsid w:val="00347F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1980</Words>
  <Characters>11291</Characters>
  <Application>Microsoft Office Word</Application>
  <DocSecurity>0</DocSecurity>
  <Lines>94</Lines>
  <Paragraphs>26</Paragraphs>
  <ScaleCrop>false</ScaleCrop>
  <Company/>
  <LinksUpToDate>false</LinksUpToDate>
  <CharactersWithSpaces>13245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</dc:creator>
  <cp:lastModifiedBy>kost</cp:lastModifiedBy>
  <cp:revision>1</cp:revision>
  <dcterms:created xsi:type="dcterms:W3CDTF">2014-09-18T06:31:00Z</dcterms:created>
  <dcterms:modified xsi:type="dcterms:W3CDTF">2014-09-18T06:37:00Z</dcterms:modified>
</cp:coreProperties>
</file>