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tLeast"/>
        <w:ind w:left="9926"/>
        <w:jc w:val="center"/>
      </w:pPr>
      <w:r>
        <w:t>ПРИЛОЖЕНИЕ</w:t>
      </w:r>
    </w:p>
    <w:p>
      <w:pPr>
        <w:ind w:left="9926"/>
        <w:jc w:val="center"/>
      </w:pPr>
      <w:r>
        <w:t xml:space="preserve">к протоколу заседания проектного комитета </w:t>
      </w:r>
    </w:p>
    <w:p>
      <w:pPr>
        <w:spacing w:line="240" w:lineRule="atLeast"/>
        <w:ind w:left="9926"/>
        <w:jc w:val="center"/>
      </w:pPr>
      <w:r>
        <w:t>по национального проекта "Образование"</w:t>
      </w:r>
    </w:p>
    <w:p>
      <w:pPr>
        <w:spacing w:line="240" w:lineRule="atLeast"/>
        <w:ind w:left="9926"/>
        <w:jc w:val="center"/>
      </w:pPr>
      <w:r>
        <w:t>от 07 декабря 2018 г. № 3</w:t>
      </w:r>
      <w:bookmarkStart w:id="0" w:name="_GoBack"/>
      <w:bookmarkEnd w:id="0"/>
    </w:p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  <w:rPr>
          <w:b/>
        </w:rPr>
      </w:pPr>
      <w:r>
        <w:rPr>
          <w:b/>
        </w:rPr>
        <w:t>П А С П О Р Т</w:t>
      </w:r>
    </w:p>
    <w:p>
      <w:pPr>
        <w:jc w:val="center"/>
        <w:rPr>
          <w:b/>
        </w:rPr>
      </w:pPr>
      <w:r>
        <w:rPr>
          <w:b/>
        </w:rPr>
        <w:t>федерального проекта "Поддержка семей, имеющих детей"</w:t>
      </w:r>
    </w:p>
    <w:p>
      <w:pPr>
        <w:spacing w:line="240" w:lineRule="atLeast"/>
      </w:pPr>
    </w:p>
    <w:p>
      <w:pPr>
        <w:spacing w:line="240" w:lineRule="atLeast"/>
        <w:jc w:val="center"/>
      </w:pPr>
      <w:r>
        <w:t>1. Основные положения</w:t>
      </w:r>
    </w:p>
    <w:p>
      <w:pPr>
        <w:spacing w:line="24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3"/>
        <w:gridCol w:w="2921"/>
        <w:gridCol w:w="4077"/>
        <w:gridCol w:w="3901"/>
      </w:tblGrid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Образование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Краткое наименование федерального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"Поддержка семей, имеющих детей"</w:t>
            </w:r>
          </w:p>
        </w:tc>
        <w:tc>
          <w:tcPr>
            <w:tcW w:w="3787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>
            <w:pPr>
              <w:spacing w:before="40" w:after="40" w:line="240" w:lineRule="atLeast"/>
              <w:jc w:val="center"/>
            </w:pPr>
            <w:r>
              <w:t>1 ноября 2018 г. -</w:t>
            </w:r>
            <w:r>
              <w:br/>
              <w:t>31 декабря 2024 г.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Куратор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Т.А.Голикова, заместитель Председателя Правительства Российской Федерации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Руководитель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М.Н.Ракова, заместитель Министра просвещения Российской Федерации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Администратор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А.В.Хамардюк, 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</w:tr>
      <w:tr>
        <w:tc>
          <w:tcPr>
            <w:tcW w:w="4665" w:type="dxa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Связь с государственными программами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</w:tcPr>
          <w:p>
            <w:pPr>
              <w:spacing w:before="40" w:after="40" w:line="240" w:lineRule="atLeast"/>
              <w:jc w:val="left"/>
            </w:pPr>
            <w:r>
              <w:t>Государственная программа Российской Федерации "Развитие образования"</w:t>
            </w:r>
          </w:p>
        </w:tc>
      </w:tr>
    </w:tbl>
    <w:p>
      <w:pPr>
        <w:spacing w:line="240" w:lineRule="atLeast"/>
        <w:rPr>
          <w:b/>
        </w:rPr>
      </w:pPr>
    </w:p>
    <w:p>
      <w:pPr>
        <w:spacing w:line="240" w:lineRule="atLeast"/>
        <w:jc w:val="center"/>
      </w:pPr>
      <w:r>
        <w:br w:type="page"/>
      </w:r>
      <w:r>
        <w:lastRenderedPageBreak/>
        <w:t>2. Цель и показатели федерального проекта</w:t>
      </w:r>
    </w:p>
    <w:p>
      <w:pPr>
        <w:spacing w:line="240" w:lineRule="atLeast"/>
      </w:pPr>
    </w:p>
    <w:p>
      <w:pPr>
        <w:ind w:firstLine="709"/>
      </w:pPr>
      <w:r>
        <w:t>Цель: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в 2024 году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>
      <w:pPr>
        <w:spacing w:line="240" w:lineRule="atLeast"/>
      </w:pPr>
    </w:p>
    <w:tbl>
      <w:tblPr>
        <w:tblW w:w="5000" w:type="pct"/>
        <w:tblInd w:w="1" w:type="dxa"/>
        <w:tblLayout w:type="fixed"/>
        <w:tblLook w:val="0000" w:firstRow="0" w:lastRow="0" w:firstColumn="0" w:lastColumn="0" w:noHBand="0" w:noVBand="0"/>
      </w:tblPr>
      <w:tblGrid>
        <w:gridCol w:w="816"/>
        <w:gridCol w:w="4713"/>
        <w:gridCol w:w="1529"/>
        <w:gridCol w:w="1681"/>
        <w:gridCol w:w="1529"/>
        <w:gridCol w:w="917"/>
        <w:gridCol w:w="917"/>
        <w:gridCol w:w="916"/>
        <w:gridCol w:w="917"/>
        <w:gridCol w:w="916"/>
        <w:gridCol w:w="1071"/>
      </w:tblGrid>
      <w:tr>
        <w:tc>
          <w:tcPr>
            <w:tcW w:w="8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>
        <w:tc>
          <w:tcPr>
            <w:tcW w:w="8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c>
          <w:tcPr>
            <w:tcW w:w="81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1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Количество услуг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некоммерческих организаций (далее - НКО), нарастающим итогом с 2019 года, млн. единиц 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9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c>
          <w:tcPr>
            <w:tcW w:w="81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13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Доля граждан, положительно оценивших качество услуг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помощи,  от общего числа обратившихся за получением услуги, процент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 2018 г.</w:t>
            </w:r>
          </w:p>
        </w:tc>
        <w:tc>
          <w:tcPr>
            <w:tcW w:w="9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91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17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1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7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3. Задачи и результаты федерального проекта</w:t>
      </w:r>
    </w:p>
    <w:p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2"/>
        <w:gridCol w:w="7173"/>
        <w:gridCol w:w="7717"/>
      </w:tblGrid>
      <w:tr>
        <w:trPr>
          <w:trHeight w:val="20"/>
          <w:tblHeader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задачи, результата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результата</w:t>
            </w:r>
          </w:p>
        </w:tc>
      </w:tr>
      <w:tr>
        <w:trPr>
          <w:trHeight w:val="2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bCs/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829" w:type="dxa"/>
            <w:gridSpan w:val="2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Функционирует </w:t>
            </w:r>
            <w:r>
              <w:rPr>
                <w:i/>
                <w:sz w:val="24"/>
              </w:rPr>
              <w:t xml:space="preserve">федеральный портал информационно-просветительской поддержки родителей </w:t>
            </w:r>
          </w:p>
        </w:tc>
        <w:tc>
          <w:tcPr>
            <w:tcW w:w="71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К 1 декабря 2019 года создан </w:t>
            </w:r>
            <w:r>
              <w:rPr>
                <w:i/>
                <w:sz w:val="24"/>
              </w:rPr>
              <w:t xml:space="preserve">федеральный портал информационно-просветительской поддержки родителей </w:t>
            </w:r>
            <w:r>
              <w:rPr>
                <w:sz w:val="24"/>
              </w:rPr>
              <w:t xml:space="preserve"> в информационно-телекоммуникационной сети "Интернет" (далее - портал) с учетом имеющегося опыта  (например, Международный проект "Энциклопедия раннего детского развития")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  <w:vertAlign w:val="superscript"/>
              </w:rPr>
              <w:br/>
            </w:r>
            <w:r>
              <w:rPr>
                <w:sz w:val="24"/>
              </w:rPr>
              <w:t xml:space="preserve">Портал направлен на информационно-просветительскую поддержку родителей обучающихся. Разделы портала содержат информацию по вопросам оказания услуг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помощи, повышения психолого-педагогической грамотности родителей обучающихся, в том числе для обеспечения раннего развития детей в возрасте до трех лет, информационные и мультимедийные материалы, а также модули для организации коммуникации пользователей портала, в том числе в диалоговом режиме.</w:t>
            </w:r>
            <w:r>
              <w:rPr>
                <w:sz w:val="24"/>
              </w:rPr>
              <w:br/>
            </w:r>
            <w:r>
              <w:rPr>
                <w:bCs/>
                <w:sz w:val="24"/>
              </w:rPr>
              <w:t>Портал ориентирован на работу со следующими категориями семей: семьи, в которых воспитывается неродной ребенок (семьи опекунов, усыновителей, в которых детей воспитывают приемные родители (отчим или мачеха), приемные семьи, детские дома семейного типа); малообеспеченные семьи; многодетные семьи;</w:t>
            </w:r>
            <w:r>
              <w:rPr>
                <w:bCs/>
                <w:sz w:val="24"/>
              </w:rPr>
              <w:br/>
              <w:t>семьи, воспитывающие детей с особыми потребностями; неполные семьи; молодые семьи.</w:t>
            </w:r>
            <w:r>
              <w:rPr>
                <w:bCs/>
                <w:sz w:val="24"/>
              </w:rPr>
              <w:br/>
            </w:r>
            <w:r>
              <w:rPr>
                <w:sz w:val="24"/>
              </w:rPr>
              <w:t>Будет реализован комплекс мероприятий по продвижению (популяризации) портала среди граждан.</w:t>
            </w:r>
            <w:r>
              <w:rPr>
                <w:sz w:val="24"/>
              </w:rPr>
              <w:br/>
              <w:t xml:space="preserve">Портал будет обновляться в ходе реализации федерального проекта, в том числе будут размещаться актуальные информационные и методические материалы, описание лучших практик субъектов Российской Федерации и НКО по организации работы с родителями </w:t>
            </w:r>
            <w:r>
              <w:rPr>
                <w:sz w:val="24"/>
              </w:rPr>
              <w:lastRenderedPageBreak/>
              <w:t xml:space="preserve">воспитанников, обучающихся, экспертные заключения и публикации по различным тематикам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 родителям детей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br/>
            </w:r>
            <w:r>
              <w:rPr>
                <w:bCs/>
                <w:sz w:val="24"/>
              </w:rPr>
              <w:t xml:space="preserve">Через портал будет обеспечено информирование граждан </w:t>
            </w:r>
            <w:r>
              <w:rPr>
                <w:bCs/>
                <w:sz w:val="24"/>
              </w:rPr>
              <w:br/>
              <w:t>о реализации мероприятий федерального проекта, а также предоставлена возможность получателям услуг оценить качество их предоставления.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bCs/>
                <w:sz w:val="24"/>
              </w:rPr>
            </w:pPr>
            <w:r>
              <w:rPr>
                <w:sz w:val="24"/>
              </w:rPr>
              <w:t xml:space="preserve">Оказано не менее 2 млн. услуг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</w:rPr>
              <w:t>, желающим принять на воспитание в свои семьи детей, оставшихся без попечения родителей, не менее чем в 10 субъектах Российской Федерации, в том числе с привлечением НКО</w:t>
            </w:r>
          </w:p>
        </w:tc>
        <w:tc>
          <w:tcPr>
            <w:tcW w:w="7167" w:type="dxa"/>
            <w:vMerge w:val="restart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>
              <w:rPr>
                <w:bCs/>
                <w:sz w:val="24"/>
              </w:rPr>
              <w:t>получающих дошкольное образование в семье.</w:t>
            </w:r>
            <w:r>
              <w:rPr>
                <w:bCs/>
                <w:sz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>
              <w:rPr>
                <w:sz w:val="24"/>
              </w:rPr>
              <w:br/>
              <w:t>в 2019 году - не менее 2 млн. услуг в не менее чем 10 субъектах Российской Федерации;</w:t>
            </w:r>
            <w:r>
              <w:rPr>
                <w:sz w:val="24"/>
              </w:rPr>
              <w:br/>
              <w:t>в 2020 году - не менее 4 млн. услуг в не менее чем 25 субъектах Российской Федерации;</w:t>
            </w:r>
            <w:r>
              <w:rPr>
                <w:sz w:val="24"/>
              </w:rPr>
              <w:br/>
              <w:t>в 2021 году - не менее 7 млн. услуг в не менее чем 40 субъектах Российской Федерации.</w:t>
            </w:r>
            <w:r>
              <w:rPr>
                <w:sz w:val="24"/>
              </w:rPr>
              <w:br/>
              <w:t xml:space="preserve">В 2019 году будут определены категории (виды), общие требования к расчету нормативных затрат, описание содержания услуг, в том числе в соответствии с возрастными особенностями, а также учитывающие вопросы раннего развития, воспитания, психологического здоровья  и т.д. </w:t>
            </w:r>
            <w:r>
              <w:rPr>
                <w:sz w:val="24"/>
              </w:rPr>
              <w:br/>
              <w:t>Реализация услуг предполагается через сеть НКО и иных организаций, в том числе государственных, муниципальных, социально-</w:t>
            </w:r>
            <w:r>
              <w:rPr>
                <w:sz w:val="24"/>
              </w:rPr>
              <w:lastRenderedPageBreak/>
              <w:t>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>
              <w:rPr>
                <w:sz w:val="24"/>
              </w:rPr>
              <w:br/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утвержденных постановлением Правительства Российской Федерации от 27 октября 2016 г. № 1096, будут сформированы критерии оценки качества оказания услуг. </w:t>
            </w:r>
            <w:r>
              <w:rPr>
                <w:sz w:val="24"/>
              </w:rPr>
              <w:br/>
              <w:t xml:space="preserve">Будет проведено обучение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  <w:r>
              <w:rPr>
                <w:sz w:val="24"/>
              </w:rPr>
              <w:br/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  <w:r>
              <w:rPr>
                <w:sz w:val="24"/>
              </w:rPr>
              <w:br/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Оказано не менее 4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25 субъектах Российской Федерации, в том числе с привлечением НКО</w:t>
            </w:r>
          </w:p>
        </w:tc>
        <w:tc>
          <w:tcPr>
            <w:tcW w:w="7167" w:type="dxa"/>
            <w:vMerge/>
            <w:shd w:val="clear" w:color="auto" w:fill="auto"/>
          </w:tcPr>
          <w:p>
            <w:pPr>
              <w:spacing w:after="120" w:line="240" w:lineRule="atLeast"/>
              <w:jc w:val="left"/>
              <w:rPr>
                <w:b/>
                <w:bCs/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Оказано не менее 7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40 субъектах Российской Федерации, в том числе с привлечением НКО</w:t>
            </w:r>
          </w:p>
        </w:tc>
        <w:tc>
          <w:tcPr>
            <w:tcW w:w="7167" w:type="dxa"/>
            <w:vMerge/>
            <w:shd w:val="clear" w:color="auto" w:fill="auto"/>
          </w:tcPr>
          <w:p>
            <w:pPr>
              <w:spacing w:after="120" w:line="240" w:lineRule="atLeast"/>
              <w:jc w:val="left"/>
              <w:rPr>
                <w:b/>
                <w:bCs/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>
              <w:rPr>
                <w:sz w:val="24"/>
              </w:rPr>
              <w:lastRenderedPageBreak/>
              <w:t>помощи на безвозмездной основе</w:t>
            </w:r>
          </w:p>
        </w:tc>
        <w:tc>
          <w:tcPr>
            <w:tcW w:w="716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 2019 году разработаны методические указания по реализации органами государственной власти субъектов Российской Федерации полномочий по реализации права родителей на методическую, психолого-педагогическую, диагностическую и консультативную помощь, в том числе родителей (законные представители) обучающихся, обеспечивающих получение детьми дошкольного образования в семье.</w:t>
            </w:r>
            <w:r>
              <w:rPr>
                <w:sz w:val="24"/>
              </w:rPr>
              <w:br/>
              <w:t xml:space="preserve">Методические указания будут включать в себя рекомендации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по организационно-управленческим, нормативным, методическим мероприятиям, обеспечивающим расширение информационно-просветительской поддержки родителей через создание, в том числе, в дошкольных образовательных и общеобразовательных организациях, на базе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помощи, а также перечень показателей эффективности услуг и описание ожидаемых результатов (далее - целевая модель).</w:t>
            </w:r>
            <w:r>
              <w:rPr>
                <w:sz w:val="24"/>
              </w:rPr>
              <w:br/>
              <w:t>К концу 2021 года целевая модель реализована во всех субъектах Российской Федерации, в том числе достигнуты показатели эффективности реализации целевой модели через создание и поддержку деятельности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  <w:r>
              <w:rPr>
                <w:sz w:val="24"/>
              </w:rPr>
              <w:br/>
              <w:t xml:space="preserve">Разработка и апробация пилотных моделей поддержки семей проведена с учетом опыта НКО и привлечения частных инвестиций. 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1.6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Оказано не менее 10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55 субъектах Российской Федерации, в том числе с привлечением НКО</w:t>
            </w:r>
          </w:p>
        </w:tc>
        <w:tc>
          <w:tcPr>
            <w:tcW w:w="7167" w:type="dxa"/>
            <w:vMerge w:val="restart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>
              <w:rPr>
                <w:bCs/>
                <w:sz w:val="24"/>
              </w:rPr>
              <w:t>получающих дошкольное образование в семье.</w:t>
            </w:r>
            <w:r>
              <w:rPr>
                <w:bCs/>
                <w:sz w:val="24"/>
              </w:rPr>
              <w:br/>
              <w:t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услуг 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</w:rPr>
              <w:t>, желающим принять на воспитание в свои семьи детей, оставшихся без попечения родителей (далее - услуги), в том числе (нарастающим итогом с 2019 года):</w:t>
            </w:r>
            <w:r>
              <w:rPr>
                <w:sz w:val="24"/>
              </w:rPr>
              <w:br/>
              <w:t xml:space="preserve">в 2022 году - не менее 10 млн. услуг в не менее чем 55 субъектах </w:t>
            </w:r>
            <w:r>
              <w:rPr>
                <w:sz w:val="24"/>
              </w:rPr>
              <w:lastRenderedPageBreak/>
              <w:t>Российской Федерации;</w:t>
            </w:r>
            <w:r>
              <w:rPr>
                <w:sz w:val="24"/>
              </w:rPr>
              <w:br/>
              <w:t>в 2023 году - не менее 15 млн. услуг в не менее чем 70 субъектах Российской Федерации;</w:t>
            </w:r>
            <w:r>
              <w:rPr>
                <w:sz w:val="24"/>
              </w:rPr>
              <w:br/>
              <w:t>в 2024 году - не менее 20 млн. услуг во всех субъектах Российской Федерации.</w:t>
            </w:r>
            <w:r>
              <w:rPr>
                <w:sz w:val="24"/>
              </w:rPr>
              <w:br/>
              <w:t>Реализация услуг предполагается через сеть НКО и иных организаций, в том числе государственных, муниципальных, социально-ориентированных НКО,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  <w:r>
              <w:rPr>
                <w:sz w:val="24"/>
              </w:rPr>
              <w:br/>
              <w:t xml:space="preserve">Будет проведено обучение не менее 25000 специалистов НКО и иных организаций, в том числе государственных и муниципальных, по дополнительной профессиональной программе  для специалистов, оказывающих услуги психолого-педагогической, методической и консультативной помощи. Обучение будет проведено на базе организаций дополнительного профессионального образования, определенных субъектами Российской Федерации. </w:t>
            </w:r>
            <w:r>
              <w:rPr>
                <w:sz w:val="24"/>
              </w:rPr>
              <w:br/>
              <w:t>В соответствии со сформированными содержанием, требованиями и критериями оценки качества услуг ежегодно будет проведен отбор организаций на получение грантов в форме субсидий в целях оказания услуг.</w:t>
            </w:r>
            <w:r>
              <w:rPr>
                <w:sz w:val="24"/>
              </w:rPr>
              <w:br/>
              <w:t>Будут заключены соглашения о предоставлении грантов в форме субсидий в целях оказания услуг, проведен мониторинг результатов реализации целевой модели и оценка качества оказанных услуг.</w:t>
            </w: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Оказано не менее 15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не менее чем в 70 субъектах Российской Федерации, в том числе с привлечением НКО</w:t>
            </w:r>
            <w:r>
              <w:rPr>
                <w:sz w:val="24"/>
              </w:rPr>
              <w:br/>
            </w:r>
          </w:p>
        </w:tc>
        <w:tc>
          <w:tcPr>
            <w:tcW w:w="7167" w:type="dxa"/>
            <w:vMerge/>
            <w:shd w:val="clear" w:color="auto" w:fill="auto"/>
          </w:tcPr>
          <w:p>
            <w:pPr>
              <w:spacing w:after="120" w:line="240" w:lineRule="atLeast"/>
              <w:jc w:val="left"/>
              <w:rPr>
                <w:b/>
                <w:bCs/>
                <w:sz w:val="24"/>
              </w:rPr>
            </w:pPr>
          </w:p>
        </w:tc>
      </w:tr>
      <w:tr>
        <w:trPr>
          <w:trHeight w:val="20"/>
        </w:trPr>
        <w:tc>
          <w:tcPr>
            <w:tcW w:w="95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6662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Оказано не менее 20 млн.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</w:tc>
        <w:tc>
          <w:tcPr>
            <w:tcW w:w="7167" w:type="dxa"/>
            <w:vMerge/>
            <w:shd w:val="clear" w:color="auto" w:fill="auto"/>
          </w:tcPr>
          <w:p>
            <w:pPr>
              <w:spacing w:after="120" w:line="240" w:lineRule="atLeast"/>
              <w:jc w:val="left"/>
              <w:rPr>
                <w:b/>
                <w:bCs/>
                <w:sz w:val="24"/>
              </w:rPr>
            </w:pPr>
          </w:p>
        </w:tc>
      </w:tr>
    </w:tbl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4. Финансовое обеспечение федерального проекта "Поддержка семей, имеющих детей"</w:t>
      </w:r>
    </w:p>
    <w:p>
      <w:pPr>
        <w:spacing w:line="240" w:lineRule="atLeast"/>
      </w:pPr>
    </w:p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947"/>
        <w:gridCol w:w="4734"/>
        <w:gridCol w:w="1529"/>
        <w:gridCol w:w="1375"/>
        <w:gridCol w:w="1529"/>
        <w:gridCol w:w="1528"/>
        <w:gridCol w:w="1376"/>
        <w:gridCol w:w="1223"/>
        <w:gridCol w:w="1681"/>
      </w:tblGrid>
      <w:tr>
        <w:trPr>
          <w:cantSplit/>
          <w:tblHeader/>
        </w:trPr>
        <w:tc>
          <w:tcPr>
            <w:tcW w:w="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>
        <w:trPr>
          <w:cantSplit/>
          <w:tblHeader/>
        </w:trPr>
        <w:tc>
          <w:tcPr>
            <w:tcW w:w="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rPr>
          <w:cantSplit/>
          <w:tblHeader/>
        </w:trPr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4975" w:type="dxa"/>
            <w:gridSpan w:val="8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  <w:rPr>
                <w:bCs/>
                <w:sz w:val="24"/>
              </w:rPr>
            </w:pP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975" w:type="dxa"/>
            <w:gridSpan w:val="8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b/>
                <w:sz w:val="24"/>
              </w:rPr>
            </w:pPr>
            <w:r>
              <w:rPr>
                <w:bCs/>
                <w:sz w:val="24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73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Функционирует </w:t>
            </w:r>
            <w:r>
              <w:rPr>
                <w:i/>
                <w:sz w:val="24"/>
              </w:rPr>
              <w:t xml:space="preserve">федеральный портал информационно-просветительской поддержки родителей 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1.1.1.1.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1.1.2.1.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1.1.3.1.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  <w:trHeight w:val="2174"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Оказано услуг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683,4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683,4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999,6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1989,2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1989,2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1969,2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8314,0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670,0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670,0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980,0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1950,0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1950,0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1930,0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8150,0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1.2.1.1.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1.3.2.1.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164,0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73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225,0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225,0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1.3.1.1.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1.3.2.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1.3.2.1.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1.3.3.1.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/>
        </w:trPr>
        <w:tc>
          <w:tcPr>
            <w:tcW w:w="947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1.3.4.</w:t>
            </w:r>
          </w:p>
        </w:tc>
        <w:tc>
          <w:tcPr>
            <w:tcW w:w="4734" w:type="dxa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Всего по федеральному проекту, в том числе: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713,4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713,4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1019,6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2039,2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2039,2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2039,2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8564,0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8400,0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375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529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1528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376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223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681" w:type="dxa"/>
            <w:shd w:val="clear" w:color="auto" w:fill="auto"/>
            <w:hideMark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164,0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из них межбюджетные трансферты бюджету (ам) указывается наименование)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>
        <w:trPr>
          <w:cantSplit/>
        </w:trPr>
        <w:tc>
          <w:tcPr>
            <w:tcW w:w="5681" w:type="dxa"/>
            <w:gridSpan w:val="2"/>
            <w:shd w:val="clear" w:color="auto" w:fill="auto"/>
            <w:hideMark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9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528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376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23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68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0,00</w:t>
            </w:r>
          </w:p>
        </w:tc>
      </w:tr>
    </w:tbl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br w:type="page"/>
      </w:r>
      <w:r>
        <w:lastRenderedPageBreak/>
        <w:t>5. Участники федерального проекта</w:t>
      </w:r>
    </w:p>
    <w:p>
      <w:pPr>
        <w:spacing w:line="240" w:lineRule="atLeas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3564"/>
        <w:gridCol w:w="2248"/>
        <w:gridCol w:w="4678"/>
        <w:gridCol w:w="2977"/>
        <w:gridCol w:w="1780"/>
      </w:tblGrid>
      <w:tr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  <w:t>п/п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Занятость в проекте (процент)</w:t>
            </w:r>
          </w:p>
        </w:tc>
      </w:tr>
      <w:tr>
        <w:trPr>
          <w:trHeight w:val="20"/>
          <w:tblHeader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Руководитель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О.Ю.Васильева, Министр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Администратор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Е.М.Зак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 генерального директора ФГАУ "Фонд новых форм развития образования"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Функционирование федерального портала информационно-просветительской поддержки родителей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Е.А.Сильянов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защиты прав детей Министерства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Т.Ю.Синюгина, заместитель Министра просвещения Российской Федерации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Е.М.Зак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 генерального директора ФГАУ "Фонд новых форм развития образования"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Ж.В.Садовникова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И.о. директора Департамента государственной политики в сфере общего образования Министерства просвещения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Т.Ю.Синюгина,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О.Б.Пак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Статс-секретарь-заместитель Министра цифрового развития, связи и массовых коммуникаций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К.Ю.Носков, </w:t>
            </w:r>
            <w:r>
              <w:rPr>
                <w:sz w:val="24"/>
              </w:rPr>
              <w:br/>
              <w:t>Министр цифрового развития, связи и массовых коммуникаций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Оказание услуг </w:t>
            </w:r>
            <w:r>
              <w:rPr>
                <w:bCs/>
                <w:sz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>
              <w:rPr>
                <w:sz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Е.М.Зак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генерального директора ФГАУ "Фонд новых форм развития образования"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 генерального директора ФГАУ "Фонд новых форм развития образования"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Е.А.Сильянов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защиты прав детей Министерства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Т.Ю.Синюгина, заместитель Министра просвещения </w:t>
            </w:r>
            <w:r>
              <w:rPr>
                <w:sz w:val="24"/>
              </w:rPr>
              <w:br/>
              <w:t>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Ж.В.Садовникова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И.о. директора Департамента государственной политики в сфере общего образования Министерства просвещения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Т.Ю.Синюгина,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А.В.Хамардюк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стратегии, анализа, прогноза и проектной деятельности в сфере образования Министерства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М.Н.Ракова,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М.А.Боровская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науки и высшего образования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М.М.Котюков,</w:t>
            </w:r>
            <w:r>
              <w:rPr>
                <w:sz w:val="24"/>
              </w:rPr>
              <w:br/>
              <w:t>Министр науки и высшего образования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М.Ю.Алашкевич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Вице-президент, 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С.В.Ячевская, Заместитель Председателя Внешэкономбанка - член Правления 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О.Б.Пак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Статс-секретарь-заместитель Министра цифрового развития, связи и массовых коммуникаций Российской Федерации</w:t>
            </w:r>
            <w:r>
              <w:rPr>
                <w:sz w:val="24"/>
              </w:rPr>
              <w:br/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К.Ю.Носков,</w:t>
            </w:r>
            <w:r>
              <w:rPr>
                <w:sz w:val="24"/>
              </w:rPr>
              <w:br/>
              <w:t>Министр цифрового развития, связи и массовых коммуникаций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20"/>
        </w:trPr>
        <w:tc>
          <w:tcPr>
            <w:tcW w:w="15922" w:type="dxa"/>
            <w:gridSpan w:val="6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Разработка и внедрение во всех субъектах Российской Федерации 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Ответственный за достижение результата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Е.А.Сильянов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Директор Департамента государственной политики в сфере защиты прав детей Министерства просвещения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Т.Ю.Синюгина,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М.А.Боровская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Министра науки и высшего образования Российской Федерации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М.М.Котюков,</w:t>
            </w:r>
            <w:r>
              <w:rPr>
                <w:sz w:val="24"/>
              </w:rPr>
              <w:br/>
              <w:t>Министр науки и высшего образования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Е.М.Зак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генерального директора ФГАУ "Фонд новых форм развития образования" 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М.А.Инкин, и.о. генерального директора ФГАУ "Фонд новых форм развития образования"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20"/>
        </w:trPr>
        <w:tc>
          <w:tcPr>
            <w:tcW w:w="67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64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Участник федерального проекта</w:t>
            </w:r>
          </w:p>
        </w:tc>
        <w:tc>
          <w:tcPr>
            <w:tcW w:w="224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Ж.В.Садовникова</w:t>
            </w:r>
          </w:p>
        </w:tc>
        <w:tc>
          <w:tcPr>
            <w:tcW w:w="4678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И.о. директора Департамента государственной политики в сфере общего образования Министерства просвещения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Т.Ю.Синюгина, заместитель Министра просвещения Российской Федерации</w:t>
            </w:r>
          </w:p>
        </w:tc>
        <w:tc>
          <w:tcPr>
            <w:tcW w:w="1780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>
      <w:pPr>
        <w:spacing w:after="120" w:line="240" w:lineRule="atLeast"/>
      </w:pPr>
    </w:p>
    <w:p>
      <w:pPr>
        <w:spacing w:line="240" w:lineRule="atLeast"/>
      </w:pPr>
      <w:r>
        <w:br w:type="page"/>
      </w:r>
    </w:p>
    <w:p>
      <w:pPr>
        <w:spacing w:line="240" w:lineRule="atLeast"/>
        <w:jc w:val="center"/>
      </w:pPr>
      <w:r>
        <w:lastRenderedPageBreak/>
        <w:t>6. Дополнительная информация</w:t>
      </w:r>
    </w:p>
    <w:p>
      <w:pPr>
        <w:spacing w:line="240" w:lineRule="atLeast"/>
      </w:pPr>
    </w:p>
    <w:p>
      <w:pPr>
        <w:ind w:firstLine="709"/>
      </w:pPr>
      <w:r>
        <w:rPr>
          <w:vertAlign w:val="superscript"/>
        </w:rPr>
        <w:footnoteRef/>
      </w:r>
      <w:r>
        <w:t xml:space="preserve"> Указано количество обращений родителей (законных представителей) детей дошкольного возраста в консультационные центры за психолого-педагогической, диагностической и консультативной помощью, тыс. обращений" (количество обращений за 2017 год);</w:t>
      </w:r>
    </w:p>
    <w:p>
      <w:pPr>
        <w:ind w:firstLine="709"/>
      </w:pPr>
      <w:r>
        <w:rPr>
          <w:vertAlign w:val="superscript"/>
        </w:rPr>
        <w:t>2</w:t>
      </w:r>
      <w:r>
        <w:t xml:space="preserve"> распределение значений показателей по субъектам Российской Федерации не предусмотрено настоящим федеральным проектом;</w:t>
      </w:r>
    </w:p>
    <w:p>
      <w:pPr>
        <w:ind w:firstLine="709"/>
      </w:pPr>
      <w:r>
        <w:rPr>
          <w:vertAlign w:val="superscript"/>
        </w:rPr>
        <w:t>3</w:t>
      </w:r>
      <w:r>
        <w:t xml:space="preserve"> распределение объема финансового обеспечения по субъектам Российской Федерации не предусмотрено настоящим федеральным проектом;</w:t>
      </w:r>
    </w:p>
    <w:p>
      <w:pPr>
        <w:ind w:firstLine="709"/>
      </w:pPr>
      <w:r>
        <w:rPr>
          <w:vertAlign w:val="superscript"/>
        </w:rPr>
        <w:t xml:space="preserve">4 </w:t>
      </w:r>
      <w:r>
        <w:t>объединяет актуальные научные материалы из разных источников. На базе Международного центра исследований развития человека Томского государственного университета работает русскоязычная версия проекта.</w:t>
      </w:r>
    </w:p>
    <w:p>
      <w:pPr>
        <w:spacing w:line="240" w:lineRule="atLeast"/>
      </w:pPr>
    </w:p>
    <w:p>
      <w:pPr>
        <w:spacing w:line="240" w:lineRule="atLeast"/>
        <w:jc w:val="center"/>
      </w:pPr>
      <w:r>
        <w:t>Глоссарий</w:t>
      </w:r>
    </w:p>
    <w:p>
      <w:pPr>
        <w:spacing w:line="240" w:lineRule="atLeast"/>
      </w:pPr>
    </w:p>
    <w:p>
      <w:pPr>
        <w:ind w:firstLine="709"/>
      </w:pPr>
      <w:r>
        <w:t xml:space="preserve">Семья - важнейший общественный институт, имеющий огромное значение в становлении ребёнка.  Главенствующая роль семьи в воспитании и обучении детей закреплена в статье 44 Федерального Закона "Об образовании в Российской Федерации" № 273-ФЗ от 29 декабря 2012 года. За последние годы в ходе реализации "Национальной стратегии действий в интересах детей на 2012-2017 гг." предпринят ряд важных шагов, направленных на вовлечение родителей в систему образования, повышение их статуса как полноправного участника образовательных отношений. </w:t>
      </w:r>
    </w:p>
    <w:p>
      <w:pPr>
        <w:ind w:firstLine="709"/>
      </w:pPr>
      <w:r>
        <w:t xml:space="preserve">Услуга - любая деятельность или работа, которую одна сторона может предложить другой, характеризующаяся отсутствием предлагаемой материальной осязаемости такой деятельности и не выражающаяся во владении чем-либо. </w:t>
      </w:r>
    </w:p>
    <w:p>
      <w:pPr>
        <w:ind w:firstLine="709"/>
      </w:pPr>
      <w:r>
        <w:t xml:space="preserve">Федеральный портал информационно-просветительской поддержки родителей - информационный портал, направленный </w:t>
      </w:r>
      <w:r>
        <w:br/>
        <w:t>на оказание информационно-просветительской, методической и консультационной поддержки родителям детей, в том числе в возрасте до трех лет по вопросам образования и воспитания, обеспечивающий взаимодействие родителей с образовательными организациями и способствующий формированию родительского сообщества.</w:t>
      </w:r>
    </w:p>
    <w:p>
      <w:pPr>
        <w:ind w:firstLine="709"/>
      </w:pPr>
      <w:r>
        <w:t xml:space="preserve">Целевая модель информационно-просветительской поддержки родителей - модель организации взаимодействия с родителями детей в том числе дошкольного возраста в субъекте Российской Федерации с целью оказания комплексной </w:t>
      </w:r>
      <w:r>
        <w:lastRenderedPageBreak/>
        <w:t>психолого-педагогической и информационно-просветительской поддержки родителям, создания условий для раннего развития детей в возрасте до трех лет, реализации программ психолого-педагогической, методической и консультативной помощи родителям детей, обучающихся по программам основного общего и дошкольного образования, в том числе форме семейного образования.</w:t>
      </w:r>
    </w:p>
    <w:p>
      <w:pPr>
        <w:ind w:firstLine="709"/>
      </w:pPr>
      <w:r>
        <w:t>Федеральный проект "Поддержка семей, имеющих детей" направлен на оказание комплексной психолого-педагогической и информационно-просветительской поддержки родителям детей, 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семье.</w:t>
      </w:r>
    </w:p>
    <w:p>
      <w:pPr>
        <w:ind w:firstLine="709"/>
      </w:pPr>
      <w:r>
        <w:t xml:space="preserve">Федеральный проект предусматривает создание, наполнение и функционирование единого федерального портала информационно-просветительской поддержки родителей, позволяющего оказывать различную консультационную помощь родителям, обеспечивающего взаимодействие с образовательными организациями и родительским сообществом. По итогам апробации (п. 5.1.3) и в соответствии с решением проектного комитета (п. 5.1.4) во всех субъектах Российской Федерации будет реализована целевая модель, предусматривающая создание системы информирования родителей по вопросам образования детей, в том числе на площадках объектов социальной инфраструктуры, распространение типовых информационных и методических пособий для родителей по вопросам развития, воспитания и обучения детей, в том числе раннего развития детей в возрасте до трех лет и детей с ограниченными возможностями здоровья. </w:t>
      </w:r>
    </w:p>
    <w:p>
      <w:pPr>
        <w:ind w:firstLine="709"/>
      </w:pPr>
      <w:r>
        <w:t>Кроме того, наряду с реализацией Концепции развития психологической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19 декабря 2017 г., федеральный проект предусматривает предоставление грантов в форме субсидий из федерального бюджета социально-ориентированным некоммерческим организациям для организации оказания психолого-педагогической, методической и  консультативной помощи родителям обучающихся и образовательным организациям. К 2024 году во всех субъектах Российской Федерации будут функционировать центры помощи родителям, 20 миллионов граждан (родители (законные представители) детей, граждане, желающие принять на воспитание в свои семьи детей, оставшихся без попечения родителей) получат психолого-педагогическую, методическую и консультативную помощь, в том числе через федеральный портал.</w:t>
      </w:r>
    </w:p>
    <w:p>
      <w:pPr>
        <w:ind w:firstLine="709"/>
      </w:pPr>
      <w:r>
        <w:t xml:space="preserve">Федеральный проект реализуется в рамках подпрограммы "Содействие развитию дошкольного и общего образования" проектной части государственной программы "Развитие образования". В проекте отсутствуют мероприятия, совпадающие по </w:t>
      </w:r>
      <w:r>
        <w:lastRenderedPageBreak/>
        <w:t>содержанию, срокам реализации, форме поддержки, виду расходом и составу исполнителей с мероприятиями, предусмотренными другими государственными программами Российской Федерации.</w:t>
      </w:r>
    </w:p>
    <w:p>
      <w:pPr>
        <w:spacing w:line="240" w:lineRule="atLeast"/>
      </w:pPr>
    </w:p>
    <w:p>
      <w:pPr>
        <w:spacing w:line="240" w:lineRule="atLeast"/>
        <w:jc w:val="center"/>
      </w:pPr>
      <w:r>
        <w:t>Оценка обеспеченности целей и целевых показателей национального проекта</w:t>
      </w:r>
    </w:p>
    <w:p>
      <w:pPr>
        <w:spacing w:line="240" w:lineRule="atLeas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2551"/>
        <w:gridCol w:w="1985"/>
        <w:gridCol w:w="2914"/>
      </w:tblGrid>
      <w:tr>
        <w:trPr>
          <w:tblHeader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Средневзвешенный результат Российской Федерации в группе международных исследований, средневзвешенное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 России в мире по присутствию университетов </w:t>
            </w:r>
            <w:r>
              <w:rPr>
                <w:sz w:val="24"/>
              </w:rPr>
              <w:br/>
              <w:t>в ТОП-500 глобальных рейтингов университетов,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Численность обучающихся, вовлеченных в деятельность общественных объединений, в т.ч. волонтерских и добровольческих, </w:t>
            </w:r>
            <w:r>
              <w:rPr>
                <w:bCs/>
                <w:sz w:val="24"/>
              </w:rPr>
              <w:t>млн. человек накопительным итогом</w:t>
            </w:r>
          </w:p>
        </w:tc>
      </w:tr>
      <w:tr>
        <w:trPr>
          <w:tblHeader/>
        </w:trPr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</w:pP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line="240" w:lineRule="atLeast"/>
              <w:jc w:val="left"/>
            </w:pPr>
          </w:p>
        </w:tc>
      </w:tr>
      <w:tr>
        <w:tc>
          <w:tcPr>
            <w:tcW w:w="563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Функционирует </w:t>
            </w:r>
            <w:r>
              <w:rPr>
                <w:i/>
                <w:sz w:val="24"/>
              </w:rPr>
              <w:t xml:space="preserve">федеральный портал информационно-просветительской поддержки родителей 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63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Разработана и внедрена во всех субъектах Российской Федерации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63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Оказано не менее 20 млн. услуг психолого-педагогической, методической и консультативной </w:t>
            </w:r>
            <w:r>
              <w:rPr>
                <w:sz w:val="24"/>
              </w:rPr>
              <w:lastRenderedPageBreak/>
              <w:t>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во всех субъектах Российской Федерации, с привлечением НКО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c>
          <w:tcPr>
            <w:tcW w:w="5637" w:type="dxa"/>
            <w:shd w:val="clear" w:color="auto" w:fill="auto"/>
          </w:tcPr>
          <w:p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Итого</w:t>
            </w:r>
          </w:p>
        </w:tc>
        <w:tc>
          <w:tcPr>
            <w:tcW w:w="283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4" w:type="dxa"/>
            <w:shd w:val="clear" w:color="auto" w:fill="auto"/>
          </w:tcPr>
          <w:p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line="240" w:lineRule="atLeast"/>
      </w:pPr>
    </w:p>
    <w:p>
      <w:pPr>
        <w:spacing w:line="240" w:lineRule="atLeast"/>
      </w:pPr>
    </w:p>
    <w:p>
      <w:pPr>
        <w:spacing w:line="240" w:lineRule="atLeast"/>
        <w:jc w:val="center"/>
      </w:pPr>
      <w:r>
        <w:t>____________</w:t>
      </w:r>
    </w:p>
    <w:sectPr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fldSimple w:instr=" FILENAME  \* MERGEFORMAT ">
      <w:r>
        <w:rPr>
          <w:noProof/>
          <w:sz w:val="16"/>
        </w:rPr>
        <w:t>Normal.dot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18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318D391D"/>
    <w:multiLevelType w:val="multilevel"/>
    <w:tmpl w:val="215ACC0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9539D"/>
    <w:multiLevelType w:val="hybridMultilevel"/>
    <w:tmpl w:val="0EE47C7C"/>
    <w:lvl w:ilvl="0" w:tplc="9AEE2084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13205"/>
    <w:multiLevelType w:val="multilevel"/>
    <w:tmpl w:val="5B067A4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51057"/>
    <w:multiLevelType w:val="multilevel"/>
    <w:tmpl w:val="F4FE4C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60E67"/>
    <w:multiLevelType w:val="hybridMultilevel"/>
    <w:tmpl w:val="5B04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20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24"/>
  </w:num>
  <w:num w:numId="10">
    <w:abstractNumId w:val="22"/>
  </w:num>
  <w:num w:numId="11">
    <w:abstractNumId w:val="12"/>
  </w:num>
  <w:num w:numId="12">
    <w:abstractNumId w:val="7"/>
  </w:num>
  <w:num w:numId="13">
    <w:abstractNumId w:val="23"/>
  </w:num>
  <w:num w:numId="14">
    <w:abstractNumId w:val="25"/>
  </w:num>
  <w:num w:numId="15">
    <w:abstractNumId w:val="4"/>
  </w:num>
  <w:num w:numId="16">
    <w:abstractNumId w:val="9"/>
  </w:num>
  <w:num w:numId="17">
    <w:abstractNumId w:val="6"/>
  </w:num>
  <w:num w:numId="18">
    <w:abstractNumId w:val="14"/>
  </w:num>
  <w:num w:numId="19">
    <w:abstractNumId w:val="18"/>
  </w:num>
  <w:num w:numId="20">
    <w:abstractNumId w:val="17"/>
  </w:num>
  <w:num w:numId="21">
    <w:abstractNumId w:val="0"/>
  </w:num>
  <w:num w:numId="22">
    <w:abstractNumId w:val="1"/>
  </w:num>
  <w:num w:numId="23">
    <w:abstractNumId w:val="19"/>
  </w:num>
  <w:num w:numId="24">
    <w:abstractNumId w:val="8"/>
  </w:num>
  <w:num w:numId="25">
    <w:abstractNumId w:val="2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uiPriority w:val="99"/>
    <w:rPr>
      <w:sz w:val="20"/>
    </w:rPr>
  </w:style>
  <w:style w:type="character" w:customStyle="1" w:styleId="a9">
    <w:name w:val="Текст сноски Знак"/>
    <w:link w:val="a8"/>
    <w:uiPriority w:val="99"/>
    <w:rPr>
      <w:rFonts w:ascii="Times New Roman" w:hAnsi="Times New Roman"/>
    </w:rPr>
  </w:style>
  <w:style w:type="character" w:styleId="aa">
    <w:name w:val="footnote reference"/>
    <w:rPr>
      <w:vertAlign w:val="superscript"/>
    </w:rPr>
  </w:style>
  <w:style w:type="paragraph" w:styleId="ab">
    <w:name w:val="Balloon Text"/>
    <w:basedOn w:val="a"/>
    <w:link w:val="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styleId="ad">
    <w:name w:val="List Paragraph"/>
    <w:aliases w:val="lp1,Bullet 1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Pr>
      <w:sz w:val="16"/>
      <w:szCs w:val="16"/>
    </w:rPr>
  </w:style>
  <w:style w:type="paragraph" w:styleId="af">
    <w:name w:val="annotation text"/>
    <w:basedOn w:val="a"/>
    <w:link w:val="af0"/>
    <w:uiPriority w:val="99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uiPriority w:val="99"/>
    <w:rPr>
      <w:rFonts w:ascii="Times New Roman" w:hAnsi="Times New Roman"/>
    </w:r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annotation subject"/>
    <w:basedOn w:val="af"/>
    <w:next w:val="af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link w:val="af4"/>
    <w:uiPriority w:val="99"/>
    <w:rPr>
      <w:rFonts w:ascii="Times New Roman" w:hAnsi="Times New Roman"/>
      <w:b/>
      <w:bCs/>
    </w:rPr>
  </w:style>
  <w:style w:type="paragraph" w:styleId="af6">
    <w:name w:val="No Spacing"/>
    <w:uiPriority w:val="1"/>
    <w:qFormat/>
    <w:pPr>
      <w:jc w:val="both"/>
    </w:pPr>
    <w:rPr>
      <w:rFonts w:ascii="Times New Roman" w:hAnsi="Times New Roman"/>
      <w:sz w:val="28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/>
      <w:sz w:val="28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uiPriority w:val="99"/>
    <w:rPr>
      <w:sz w:val="20"/>
    </w:rPr>
  </w:style>
  <w:style w:type="character" w:customStyle="1" w:styleId="a9">
    <w:name w:val="Текст сноски Знак"/>
    <w:link w:val="a8"/>
    <w:uiPriority w:val="99"/>
    <w:rPr>
      <w:rFonts w:ascii="Times New Roman" w:hAnsi="Times New Roman"/>
    </w:rPr>
  </w:style>
  <w:style w:type="character" w:styleId="aa">
    <w:name w:val="footnote reference"/>
    <w:rPr>
      <w:vertAlign w:val="superscript"/>
    </w:rPr>
  </w:style>
  <w:style w:type="paragraph" w:styleId="ab">
    <w:name w:val="Balloon Text"/>
    <w:basedOn w:val="a"/>
    <w:link w:val="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Pr>
      <w:rFonts w:ascii="Tahoma" w:hAnsi="Tahoma" w:cs="Tahoma"/>
      <w:sz w:val="16"/>
      <w:szCs w:val="16"/>
    </w:rPr>
  </w:style>
  <w:style w:type="paragraph" w:styleId="ad">
    <w:name w:val="List Paragraph"/>
    <w:aliases w:val="lp1,Bullet 1"/>
    <w:basedOn w:val="a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Pr>
      <w:sz w:val="16"/>
      <w:szCs w:val="16"/>
    </w:rPr>
  </w:style>
  <w:style w:type="paragraph" w:styleId="af">
    <w:name w:val="annotation text"/>
    <w:basedOn w:val="a"/>
    <w:link w:val="af0"/>
    <w:uiPriority w:val="99"/>
    <w:pPr>
      <w:spacing w:line="240" w:lineRule="auto"/>
    </w:pPr>
    <w:rPr>
      <w:sz w:val="20"/>
    </w:rPr>
  </w:style>
  <w:style w:type="character" w:customStyle="1" w:styleId="af0">
    <w:name w:val="Текст примечания Знак"/>
    <w:link w:val="af"/>
    <w:uiPriority w:val="99"/>
    <w:rPr>
      <w:rFonts w:ascii="Times New Roman" w:hAnsi="Times New Roman"/>
    </w:rPr>
  </w:style>
  <w:style w:type="table" w:styleId="af1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annotation subject"/>
    <w:basedOn w:val="af"/>
    <w:next w:val="af"/>
    <w:link w:val="af5"/>
    <w:uiPriority w:val="99"/>
    <w:unhideWhenUsed/>
    <w:rPr>
      <w:b/>
      <w:bCs/>
    </w:rPr>
  </w:style>
  <w:style w:type="character" w:customStyle="1" w:styleId="af5">
    <w:name w:val="Тема примечания Знак"/>
    <w:link w:val="af4"/>
    <w:uiPriority w:val="99"/>
    <w:rPr>
      <w:rFonts w:ascii="Times New Roman" w:hAnsi="Times New Roman"/>
      <w:b/>
      <w:bCs/>
    </w:rPr>
  </w:style>
  <w:style w:type="paragraph" w:styleId="af6">
    <w:name w:val="No Spacing"/>
    <w:uiPriority w:val="1"/>
    <w:qFormat/>
    <w:pPr>
      <w:jc w:val="both"/>
    </w:pPr>
    <w:rPr>
      <w:rFonts w:ascii="Times New Roman" w:hAnsi="Times New Roman"/>
      <w:sz w:val="28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</w:style>
  <w:style w:type="character" w:customStyle="1" w:styleId="eop">
    <w:name w:val="eop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defusr</cp:lastModifiedBy>
  <cp:revision>4</cp:revision>
  <dcterms:created xsi:type="dcterms:W3CDTF">2018-12-10T16:34:00Z</dcterms:created>
  <dcterms:modified xsi:type="dcterms:W3CDTF">2018-12-10T18:03:00Z</dcterms:modified>
</cp:coreProperties>
</file>